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2021-04-09 16:14:27</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s-with-uncertainty-propagation"/>
      <w:r>
        <w:t xml:space="preserve">GAMs with uncertainty propagation</w:t>
      </w:r>
      <w:bookmarkEnd w:id="32"/>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 series differently (Table</w:t>
      </w:r>
      <w:r>
        <w:t xml:space="preserve"> </w:t>
      </w:r>
      <w:r>
        <w:t xml:space="preserve">2</w:t>
      </w:r>
      <w:r>
        <w:t xml:space="preserve">).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resulting in near ties for AIC between models.</w:t>
      </w:r>
    </w:p>
    <w:p>
      <w:pPr>
        <w:pStyle w:val="BodyText"/>
      </w:pPr>
      <w:r>
        <w:t xml:space="preserve">We visually compare chl-a estimates from models SY, SYD, and SYDI to emphasize that similar fits can be achieved by all of the presented models (Figure</w:t>
      </w:r>
      <w:r>
        <w:t xml:space="preserve"> </w:t>
      </w:r>
      <w:r>
        <w:t xml:space="preserve">3</w:t>
      </w:r>
      <w:r>
        <w:t xml:space="preserve">,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w:t>
      </w:r>
      <w:r>
        <w:t xml:space="preserve"> </w:t>
      </w:r>
      <w:r>
        <w:t xml:space="preserve">3</w:t>
      </w:r>
      <w:r>
        <w:t xml:space="preserve">).</w:t>
      </w:r>
    </w:p>
    <w:p>
      <w:pPr>
        <w:pStyle w:val="Heading3"/>
      </w:pPr>
      <w:bookmarkStart w:id="34" w:name="X79341b4d8d7ec317f2877c2fc7a73487dbf3a2a"/>
      <w:r>
        <w:t xml:space="preserve">Second-stage analysis: Seasonal features with uncertainties</w:t>
      </w:r>
      <w:bookmarkEnd w:id="34"/>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(1))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of 71% (Table</w:t>
      </w:r>
      <w:r>
        <w:t xml:space="preserve"> </w:t>
      </w:r>
      <w:r>
        <w:t xml:space="preserve">4</w:t>
      </w:r>
      <w:r>
        <w:t xml:space="preserve">)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in seasonal averages across roughly ten-year windows for different seasons are shown for station 34 (Figure</w:t>
      </w:r>
      <w:r>
        <w:t xml:space="preserve"> </w:t>
      </w:r>
      <w:r>
        <w:t xml:space="preserve">4</w:t>
      </w:r>
      <w:r>
        <w:t xml:space="preserve">).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w:t>
      </w:r>
      <w:r>
        <w:t xml:space="preserve"> </w:t>
      </w:r>
      <w:r>
        <w:t xml:space="preserve">5</w:t>
      </w:r>
      <w:r>
        <w:t xml:space="preserve"> </w:t>
      </w:r>
      <w:r>
        <w:t xml:space="preserve">shows results from similar analyses as those in Figure</w:t>
      </w:r>
      <w:r>
        <w:t xml:space="preserve"> </w:t>
      </w:r>
      <w:r>
        <w:t xml:space="preserve">4</w:t>
      </w:r>
      <w:r>
        <w:t xml:space="preserve">,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w:t>
      </w:r>
      <w:r>
        <w:t xml:space="preserve"> </w:t>
      </w:r>
      <w:r>
        <w:t xml:space="preserve">6</w:t>
      </w:r>
      <w:r>
        <w:t xml:space="preserve">).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w:t>
      </w:r>
      <w:r>
        <w:t xml:space="preserve"> </w:t>
      </w:r>
      <w:r>
        <w:t xml:space="preserve">7</w:t>
      </w:r>
      <w:r>
        <w:t xml:space="preserve"> </w:t>
      </w:r>
      <w:r>
        <w:t xml:space="preserve">row 1) or OLS regression through GAM estimates without uncertainty propagation (Figure</w:t>
      </w:r>
      <w:r>
        <w:t xml:space="preserve"> </w:t>
      </w:r>
      <w:r>
        <w:t xml:space="preserve">7</w:t>
      </w:r>
      <w:r>
        <w:t xml:space="preserve"> </w:t>
      </w:r>
      <w:r>
        <w:t xml:space="preserve">row 2). Figure</w:t>
      </w:r>
      <w:r>
        <w:t xml:space="preserve"> </w:t>
      </w:r>
      <w:r>
        <w:t xml:space="preserve">7</w:t>
      </w:r>
      <w:r>
        <w:t xml:space="preserve">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w:t>
      </w:r>
      <w:r>
        <w:t xml:space="preserve"> </w:t>
      </w:r>
      <w:r>
        <w:t xml:space="preserve">7</w:t>
      </w:r>
      <w:r>
        <w:t xml:space="preserve">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w:t>
      </w:r>
      <w:r>
        <w:t xml:space="preserve"> </w:t>
      </w:r>
      <w:r>
        <w:t xml:space="preserve">8</w:t>
      </w:r>
      <w:r>
        <w:t xml:space="preserve">).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w:t>
      </w:r>
      <w:r>
        <w:t xml:space="preserve"> </w:t>
      </w:r>
      <w:r>
        <w:t xml:space="preserve">7</w:t>
      </w:r>
      <w:r>
        <w:t xml:space="preserve"> </w:t>
      </w:r>
      <w:r>
        <w:t xml:space="preserve">and</w:t>
      </w:r>
      <w:r>
        <w:t xml:space="preserve"> </w:t>
      </w:r>
      <w:r>
        <w:t xml:space="preserve">8</w:t>
      </w:r>
      <w:r>
        <w:t xml:space="preserve"> </w:t>
      </w:r>
      <w:r>
        <w:t xml:space="preserve">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943600" cy="5200650"/>
            <wp:effectExtent b="0" l="0" r="0" t="0"/>
            <wp:docPr descr="Figure 1: Observed chl-a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chl-a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3458" cy="5958496"/>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3458" cy="5958496"/>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943600" cy="3241963"/>
            <wp:effectExtent b="0" l="0" r="0" t="0"/>
            <wp:docPr descr="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943600" cy="5151120"/>
            <wp:effectExtent b="0" l="0" r="0" t="0"/>
            <wp:docPr descr="Figure 5: 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5: 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6: 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943600" cy="4984954"/>
            <wp:effectExtent b="0" l="0" r="0" t="0"/>
            <wp:docPr descr="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943600" cy="4754880"/>
            <wp:effectExtent b="0" l="0" r="0" t="0"/>
            <wp:docPr descr="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3" w:name="tables"/>
      <w:r>
        <w:t xml:space="preserve">Tables</w:t>
      </w:r>
      <w:bookmarkEnd w:id="53"/>
    </w:p>
    <w:p>
      <w:pPr>
        <w:pStyle w:val="TableCaption"/>
      </w:pPr>
      <w:r>
        <w:t xml:space="preserve">Table 1: Station locations, sample sizes (from 1991 to 2019), and summary values (median, minimum, maximum) for chl-a (</w:t>
      </w:r>
      <m:oMath>
        <m:r>
          <m:t>μ</m:t>
        </m:r>
      </m:oMath>
      <w:r>
        <w:t xml:space="preserve">g L</w:t>
      </w:r>
      <m:oMath>
        <m:sSup>
          <m:e>
            <m:r>
              <m:t>​</m:t>
            </m:r>
          </m:e>
          <m:sup>
            <m:r>
              <m:t>−</m:t>
            </m:r>
            <m:r>
              <m:t>1</m:t>
            </m:r>
          </m:sup>
        </m:sSup>
      </m:oMath>
      <w:r>
        <w:t xml:space="preserve">). Stations are arranged from north to south.</w:t>
      </w:r>
    </w:p>
    <w:tbl>
      <w:tblPr>
        <w:tblStyle w:val="Table"/>
        <w:tblW w:type="pct" w:w="0.0"/>
        <w:tblLook w:firstRow="1"/>
        <w:tblCaption w:val="Table 1: Station locations, sample sizes (from 1991 to 2019), and summary values (median, minimum, maximum) for chl-a (\mug L^{-1}). Stations are arranged from north to south."/>
      </w:tblPr>
      <w:tblGrid/>
      <w:tr>
        <w:trPr>
          <w:cnfStyle w:firstRow="1"/>
        </w:trPr>
        <w:tc>
          <w:tcPr>
            <w:tcBorders>
              <w:bottom w:val="single"/>
            </w:tcBorders>
            <w:vAlign w:val="bottom"/>
          </w:tcPr>
          <w:p>
            <w:pPr>
              <w:pStyle w:val="Compact"/>
              <w:jc w:val="right"/>
            </w:pPr>
            <w:r>
              <w:t xml:space="preserve">Station</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Med.</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Akaike Information Criterion scores (AIC), generalized cross-validation scores (GCV), and r-squared values.</w:t>
      </w:r>
    </w:p>
    <w:tbl>
      <w:tblPr>
        <w:tblStyle w:val="Table"/>
        <w:tblW w:type="pct" w:w="0.0"/>
        <w:tblLook w:firstRow="1"/>
        <w:tblCaption w:val="Table 4: 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2"/>
    <w:p>
      <w:pPr>
        <w:pStyle w:val="Bibliography"/>
      </w:pPr>
      <w:r>
        <w:t xml:space="preserve">Cloern, J. E., and A. D. Jassby. 2012. Drivers of change in estuarine-coastal ecosystems: Discoveries from four decades of study in San Francisco Bay. Reviews of Geophysics 50.</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ole84"/>
    <w:p>
      <w:pPr>
        <w:pStyle w:val="Bibliography"/>
      </w:pPr>
      <w:r>
        <w:t xml:space="preserve">Cole, B. E., and J. E. Cloern. 1984. Significance of biomass and light availability to phytoplankton productivity in San Francisco Bay. Marine Ecology Progress Series 17:15–24.</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2021-04-09T20:15:41Z</dcterms:created>
  <dcterms:modified xsi:type="dcterms:W3CDTF">2021-04-09T20:15:41Z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ecological-applications.csl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